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9D63D8">
            <w:pPr>
              <w:spacing w:line="240" w:lineRule="auto"/>
            </w:pPr>
            <w:r w:rsidRPr="00E07F11">
              <w:rPr>
                <w:rFonts w:eastAsia="Times New Roman"/>
                <w:lang w:eastAsia="de-DE"/>
              </w:rPr>
              <w:t>Wax cylinders</w:t>
            </w:r>
          </w:p>
        </w:tc>
      </w:tr>
    </w:tbl>
    <w:p w:rsidR="00D773D9" w:rsidRDefault="00D773D9"/>
    <w:p w:rsidR="00D773D9" w:rsidRDefault="000E2FC1">
      <w:r>
        <w:rPr>
          <w:b/>
        </w:rPr>
        <w:t xml:space="preserve">2) </w:t>
      </w:r>
      <w:r>
        <w:t>Owner's case  name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2009DE">
            <w:pPr>
              <w:spacing w:line="240" w:lineRule="auto"/>
            </w:pPr>
            <w:r>
              <w:t xml:space="preserve">Robert Luckfiel / </w:t>
            </w:r>
            <w:r w:rsidR="009D63D8">
              <w:t>DNB</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0E2FC1">
      <w:r>
        <w:t xml:space="preserve"> </w:t>
      </w:r>
    </w:p>
    <w:tbl>
      <w:tblPr>
        <w:tblW w:w="129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17"/>
      </w:tblGrid>
      <w:tr w:rsidR="00D773D9" w:rsidTr="009D63D8">
        <w:trPr>
          <w:trHeight w:val="1037"/>
        </w:trPr>
        <w:tc>
          <w:tcPr>
            <w:tcW w:w="12917" w:type="dxa"/>
            <w:tcMar>
              <w:top w:w="100" w:type="dxa"/>
              <w:left w:w="100" w:type="dxa"/>
              <w:bottom w:w="100" w:type="dxa"/>
              <w:right w:w="100" w:type="dxa"/>
            </w:tcMar>
          </w:tcPr>
          <w:p w:rsidR="009D63D8" w:rsidRPr="009835B2" w:rsidRDefault="009D63D8" w:rsidP="009D63D8">
            <w:pPr>
              <w:spacing w:line="240" w:lineRule="auto"/>
              <w:rPr>
                <w:rFonts w:eastAsia="Times New Roman"/>
                <w:lang w:val="en-US" w:eastAsia="de-DE"/>
              </w:rPr>
            </w:pPr>
            <w:r w:rsidRPr="009835B2">
              <w:rPr>
                <w:rFonts w:eastAsia="Times New Roman"/>
                <w:lang w:val="en-US" w:eastAsia="de-DE"/>
              </w:rPr>
              <w:t xml:space="preserve">The DNB wants to bring the metadata of 714 digitised wax cylinders into Europeana. </w:t>
            </w:r>
          </w:p>
          <w:p w:rsidR="007320B3" w:rsidRDefault="007320B3">
            <w:pPr>
              <w:spacing w:line="240" w:lineRule="auto"/>
              <w:rPr>
                <w:rFonts w:eastAsia="Times New Roman"/>
                <w:lang w:val="en-US" w:eastAsia="de-DE"/>
              </w:rPr>
            </w:pPr>
          </w:p>
          <w:p w:rsidR="007320B3" w:rsidRPr="009835B2" w:rsidRDefault="007320B3" w:rsidP="007320B3">
            <w:pPr>
              <w:spacing w:line="240" w:lineRule="auto"/>
              <w:rPr>
                <w:rFonts w:eastAsia="Times New Roman"/>
                <w:lang w:val="en-US" w:eastAsia="de-DE"/>
              </w:rPr>
            </w:pPr>
            <w:r w:rsidRPr="009835B2">
              <w:rPr>
                <w:rFonts w:eastAsia="Times New Roman"/>
                <w:lang w:val="en-US" w:eastAsia="de-DE"/>
              </w:rPr>
              <w:t xml:space="preserve">The wax cylinders were digitized in 2009 and saved in Broadcast Wave-Format (.wav). There is only one digital version (master file). </w:t>
            </w:r>
            <w:r>
              <w:rPr>
                <w:rFonts w:eastAsia="Times New Roman"/>
                <w:lang w:val="en-US" w:eastAsia="de-DE"/>
              </w:rPr>
              <w:t xml:space="preserve">The </w:t>
            </w:r>
            <w:r w:rsidRPr="009835B2">
              <w:rPr>
                <w:rFonts w:eastAsia="Times New Roman"/>
                <w:lang w:val="en-US" w:eastAsia="de-DE"/>
              </w:rPr>
              <w:t xml:space="preserve">MP3 </w:t>
            </w:r>
            <w:r>
              <w:rPr>
                <w:rFonts w:eastAsia="Times New Roman"/>
                <w:lang w:val="en-US" w:eastAsia="de-DE"/>
              </w:rPr>
              <w:t xml:space="preserve">version used for the presentation is </w:t>
            </w:r>
            <w:r w:rsidRPr="009835B2">
              <w:rPr>
                <w:rFonts w:eastAsia="Times New Roman"/>
                <w:lang w:val="en-US" w:eastAsia="de-DE"/>
              </w:rPr>
              <w:t>generated on the fly, but not saved, so not available for further use.</w:t>
            </w:r>
          </w:p>
          <w:p w:rsidR="007320B3" w:rsidRPr="009835B2" w:rsidRDefault="007320B3" w:rsidP="007320B3">
            <w:pPr>
              <w:spacing w:line="240" w:lineRule="auto"/>
              <w:rPr>
                <w:rFonts w:eastAsia="Times New Roman"/>
                <w:lang w:val="en-US" w:eastAsia="de-DE"/>
              </w:rPr>
            </w:pPr>
          </w:p>
          <w:p w:rsidR="007320B3" w:rsidRDefault="007320B3" w:rsidP="007320B3">
            <w:pPr>
              <w:spacing w:line="240" w:lineRule="auto"/>
              <w:rPr>
                <w:rFonts w:eastAsia="Times New Roman"/>
                <w:lang w:val="en-US" w:eastAsia="de-DE"/>
              </w:rPr>
            </w:pPr>
            <w:r w:rsidRPr="009835B2">
              <w:rPr>
                <w:rFonts w:eastAsia="Times New Roman"/>
                <w:lang w:val="en-US" w:eastAsia="de-DE"/>
              </w:rPr>
              <w:t xml:space="preserve">The wax cylinder and the digital version of it each have one metadata record. </w:t>
            </w:r>
            <w:r>
              <w:rPr>
                <w:rFonts w:eastAsia="Times New Roman"/>
                <w:lang w:val="en-US" w:eastAsia="de-DE"/>
              </w:rPr>
              <w:t xml:space="preserve">The record of the digital version is a copy of the record for the analogue form. </w:t>
            </w:r>
            <w:r w:rsidR="002009DE">
              <w:rPr>
                <w:rFonts w:eastAsia="Times New Roman"/>
                <w:lang w:val="en-US" w:eastAsia="de-DE"/>
              </w:rPr>
              <w:t>I</w:t>
            </w:r>
            <w:r>
              <w:rPr>
                <w:rFonts w:eastAsia="Times New Roman"/>
                <w:lang w:val="en-US" w:eastAsia="de-DE"/>
              </w:rPr>
              <w:t>nformation regarding only the physical object (i.e. EAN) is not copyed. Information about the digital file is added.</w:t>
            </w:r>
          </w:p>
          <w:p w:rsidR="007320B3" w:rsidRDefault="007320B3" w:rsidP="007320B3">
            <w:pPr>
              <w:spacing w:line="240" w:lineRule="auto"/>
              <w:rPr>
                <w:rFonts w:eastAsia="Times New Roman"/>
                <w:lang w:val="en-US" w:eastAsia="de-DE"/>
              </w:rPr>
            </w:pPr>
            <w:r w:rsidRPr="009835B2">
              <w:rPr>
                <w:rFonts w:eastAsia="Times New Roman"/>
                <w:lang w:val="en-US" w:eastAsia="de-DE"/>
              </w:rPr>
              <w:t>These records are</w:t>
            </w:r>
            <w:r>
              <w:rPr>
                <w:rFonts w:eastAsia="Times New Roman"/>
                <w:lang w:val="en-US" w:eastAsia="de-DE"/>
              </w:rPr>
              <w:t xml:space="preserve"> linked in both directions via the DNB-Identifier. </w:t>
            </w:r>
          </w:p>
          <w:p w:rsidR="007320B3" w:rsidRPr="009835B2" w:rsidRDefault="007320B3" w:rsidP="007320B3">
            <w:pPr>
              <w:spacing w:line="240" w:lineRule="auto"/>
              <w:rPr>
                <w:rFonts w:eastAsia="Times New Roman"/>
                <w:lang w:val="en-US" w:eastAsia="de-DE"/>
              </w:rPr>
            </w:pPr>
            <w:r>
              <w:rPr>
                <w:rFonts w:eastAsia="Times New Roman"/>
                <w:lang w:val="en-US" w:eastAsia="de-DE"/>
              </w:rPr>
              <w:t>Only the record of the digital version will be delivered to Europeana.</w:t>
            </w:r>
          </w:p>
          <w:p w:rsidR="007320B3" w:rsidRDefault="007320B3" w:rsidP="007320B3">
            <w:pPr>
              <w:spacing w:line="240" w:lineRule="auto"/>
              <w:rPr>
                <w:rFonts w:eastAsia="Times New Roman"/>
                <w:lang w:val="en-US" w:eastAsia="de-DE"/>
              </w:rPr>
            </w:pPr>
          </w:p>
          <w:p w:rsidR="007320B3" w:rsidRDefault="007320B3" w:rsidP="007320B3">
            <w:pPr>
              <w:spacing w:line="240" w:lineRule="auto"/>
              <w:rPr>
                <w:rFonts w:eastAsia="Times New Roman"/>
                <w:lang w:val="en-US" w:eastAsia="de-DE"/>
              </w:rPr>
            </w:pPr>
            <w:r w:rsidRPr="009835B2">
              <w:rPr>
                <w:rFonts w:eastAsia="Times New Roman"/>
                <w:lang w:val="en-US" w:eastAsia="de-DE"/>
              </w:rPr>
              <w:t xml:space="preserve">A wax cylinder has no other side like tape </w:t>
            </w:r>
            <w:r>
              <w:rPr>
                <w:rFonts w:eastAsia="Times New Roman"/>
                <w:lang w:val="en-US" w:eastAsia="de-DE"/>
              </w:rPr>
              <w:t>or</w:t>
            </w:r>
            <w:r w:rsidRPr="009835B2">
              <w:rPr>
                <w:rFonts w:eastAsia="Times New Roman"/>
                <w:lang w:val="en-US" w:eastAsia="de-DE"/>
              </w:rPr>
              <w:t xml:space="preserve"> vinyl. </w:t>
            </w:r>
            <w:r>
              <w:rPr>
                <w:rFonts w:eastAsia="Times New Roman"/>
                <w:lang w:val="en-US" w:eastAsia="de-DE"/>
              </w:rPr>
              <w:t>There is only one audiofile with one track.</w:t>
            </w:r>
          </w:p>
          <w:p w:rsidR="007320B3" w:rsidRPr="009835B2" w:rsidRDefault="007320B3" w:rsidP="007320B3">
            <w:pPr>
              <w:spacing w:line="240" w:lineRule="auto"/>
              <w:rPr>
                <w:rFonts w:eastAsia="Times New Roman"/>
                <w:lang w:val="en-US" w:eastAsia="de-DE"/>
              </w:rPr>
            </w:pPr>
          </w:p>
          <w:p w:rsidR="002009DE" w:rsidRDefault="007320B3" w:rsidP="002009DE">
            <w:pPr>
              <w:spacing w:line="240" w:lineRule="auto"/>
              <w:rPr>
                <w:rFonts w:eastAsia="Times New Roman"/>
                <w:lang w:val="en-US" w:eastAsia="de-DE"/>
              </w:rPr>
            </w:pPr>
            <w:r w:rsidRPr="009835B2">
              <w:rPr>
                <w:rFonts w:eastAsia="Times New Roman"/>
                <w:lang w:val="en-US" w:eastAsia="de-DE"/>
              </w:rPr>
              <w:t>The records have no hierarchy, all recordings are on the same bibliographic level.</w:t>
            </w:r>
          </w:p>
          <w:p w:rsidR="007320B3" w:rsidRPr="007320B3" w:rsidRDefault="007320B3" w:rsidP="002009DE">
            <w:pPr>
              <w:spacing w:line="240" w:lineRule="auto"/>
              <w:rPr>
                <w:rFonts w:eastAsia="Times New Roman"/>
                <w:lang w:val="en-US" w:eastAsia="de-DE"/>
              </w:rPr>
            </w:pPr>
            <w:r w:rsidRPr="009835B2">
              <w:rPr>
                <w:rFonts w:eastAsia="Times New Roman"/>
                <w:lang w:val="en-US" w:eastAsia="de-DE"/>
              </w:rPr>
              <w:t xml:space="preserve">There </w:t>
            </w:r>
            <w:r w:rsidR="002009DE">
              <w:rPr>
                <w:rFonts w:eastAsia="Times New Roman"/>
                <w:lang w:val="en-US" w:eastAsia="de-DE"/>
              </w:rPr>
              <w:t>will be</w:t>
            </w:r>
            <w:r w:rsidRPr="009835B2">
              <w:rPr>
                <w:rFonts w:eastAsia="Times New Roman"/>
                <w:lang w:val="en-US" w:eastAsia="de-DE"/>
              </w:rPr>
              <w:t xml:space="preserve"> only a link to a record that describes the collection of wax cylinders.</w:t>
            </w:r>
          </w:p>
        </w:tc>
      </w:tr>
    </w:tbl>
    <w:p w:rsidR="00D773D9" w:rsidRDefault="00D773D9"/>
    <w:p w:rsidR="00D773D9" w:rsidRDefault="00D773D9">
      <w:pPr>
        <w:ind w:left="720" w:firstLine="720"/>
      </w:pPr>
    </w:p>
    <w:p w:rsidR="00D773D9" w:rsidRDefault="000E2FC1">
      <w:r>
        <w:rPr>
          <w:b/>
        </w:rPr>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7320B3" w:rsidRDefault="007320B3" w:rsidP="007320B3">
            <w:pPr>
              <w:spacing w:line="240" w:lineRule="auto"/>
            </w:pPr>
            <w:r>
              <w:t>dnb_wax_sample.xml</w:t>
            </w:r>
          </w:p>
        </w:tc>
      </w:tr>
    </w:tbl>
    <w:p w:rsidR="00D773D9" w:rsidRDefault="00D773D9"/>
    <w:p w:rsidR="00D773D9" w:rsidRDefault="000E2FC1">
      <w:r>
        <w:rPr>
          <w:b/>
        </w:rPr>
        <w:lastRenderedPageBreak/>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7320B3" w:rsidRDefault="007320B3" w:rsidP="007320B3">
            <w:pPr>
              <w:spacing w:line="240" w:lineRule="auto"/>
            </w:pPr>
            <w:r>
              <w:t>MARC-XML</w:t>
            </w:r>
          </w:p>
          <w:p w:rsidR="007320B3" w:rsidRDefault="007320B3" w:rsidP="007320B3">
            <w:pPr>
              <w:spacing w:line="240" w:lineRule="auto"/>
            </w:pPr>
            <w:r>
              <w:t>also available: Dublin Core, RDF, PICA3, PICA+</w:t>
            </w:r>
          </w:p>
          <w:p w:rsidR="007320B3" w:rsidRDefault="007320B3" w:rsidP="007320B3">
            <w:pPr>
              <w:spacing w:line="240" w:lineRule="auto"/>
            </w:pPr>
          </w:p>
          <w:p w:rsidR="00D773D9" w:rsidRDefault="007320B3" w:rsidP="007320B3">
            <w:pPr>
              <w:spacing w:line="240" w:lineRule="auto"/>
            </w:pPr>
            <w:r>
              <w:t>EDM will be available via DDB (Deutsche Digitale Bibliothek / German Digital Library) in the near future.</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7320B3" w:rsidRPr="007320B3" w:rsidRDefault="007320B3" w:rsidP="007320B3">
            <w:pPr>
              <w:spacing w:line="240" w:lineRule="auto"/>
              <w:rPr>
                <w:rFonts w:eastAsia="Times New Roman"/>
                <w:lang w:val="en-US" w:eastAsia="de-DE"/>
              </w:rPr>
            </w:pPr>
            <w:r w:rsidRPr="007320B3">
              <w:rPr>
                <w:rFonts w:eastAsia="Times New Roman"/>
                <w:lang w:val="en-US" w:eastAsia="de-DE"/>
              </w:rPr>
              <w:t xml:space="preserve">The MARC-XML-format exports the relevant information about this </w:t>
            </w:r>
            <w:r>
              <w:rPr>
                <w:rFonts w:eastAsia="Times New Roman"/>
                <w:lang w:val="en-US" w:eastAsia="de-DE"/>
              </w:rPr>
              <w:t>wax cylinder</w:t>
            </w:r>
            <w:r w:rsidRPr="007320B3">
              <w:rPr>
                <w:rFonts w:eastAsia="Times New Roman"/>
                <w:lang w:val="en-US" w:eastAsia="de-DE"/>
              </w:rPr>
              <w:t xml:space="preserve"> from the DNB-catalogue.</w:t>
            </w:r>
          </w:p>
          <w:p w:rsidR="007320B3" w:rsidRDefault="007320B3" w:rsidP="007320B3">
            <w:pPr>
              <w:spacing w:line="240" w:lineRule="auto"/>
              <w:rPr>
                <w:rFonts w:eastAsia="Times New Roman"/>
                <w:lang w:val="en-US" w:eastAsia="de-DE"/>
              </w:rPr>
            </w:pPr>
            <w:r w:rsidRPr="007320B3">
              <w:rPr>
                <w:rFonts w:eastAsia="Times New Roman"/>
                <w:lang w:val="en-US" w:eastAsia="de-DE"/>
              </w:rPr>
              <w:t>There is no standard information about the media type (</w:t>
            </w:r>
            <w:r>
              <w:rPr>
                <w:rFonts w:eastAsia="Times New Roman"/>
                <w:lang w:val="en-US" w:eastAsia="de-DE"/>
              </w:rPr>
              <w:t>wax cylinder</w:t>
            </w:r>
            <w:r w:rsidRPr="007320B3">
              <w:rPr>
                <w:rFonts w:eastAsia="Times New Roman"/>
                <w:lang w:val="en-US" w:eastAsia="de-DE"/>
              </w:rPr>
              <w:t>), only a German freetext in MARC 300 $a</w:t>
            </w:r>
          </w:p>
          <w:p w:rsidR="002009DE" w:rsidRPr="007320B3" w:rsidRDefault="002009DE" w:rsidP="007320B3">
            <w:pPr>
              <w:spacing w:line="240" w:lineRule="auto"/>
              <w:rPr>
                <w:rFonts w:eastAsia="Times New Roman"/>
                <w:lang w:val="en-US" w:eastAsia="de-DE"/>
              </w:rPr>
            </w:pPr>
            <w:r>
              <w:rPr>
                <w:rFonts w:eastAsia="Times New Roman"/>
                <w:lang w:val="en-US" w:eastAsia="de-DE"/>
              </w:rPr>
              <w:t>References to other DNB-records use the DNB-ID like in MARC 775 $w: "</w:t>
            </w:r>
            <w:r w:rsidRPr="002009DE">
              <w:rPr>
                <w:rFonts w:eastAsia="Times New Roman"/>
                <w:lang w:val="en-US" w:eastAsia="de-DE"/>
              </w:rPr>
              <w:t>(DE-101)1049428226</w:t>
            </w:r>
            <w:r>
              <w:rPr>
                <w:rFonts w:eastAsia="Times New Roman"/>
                <w:lang w:val="en-US" w:eastAsia="de-DE"/>
              </w:rPr>
              <w:t xml:space="preserve">" </w:t>
            </w:r>
          </w:p>
          <w:p w:rsidR="007320B3" w:rsidRPr="007320B3" w:rsidRDefault="007320B3" w:rsidP="007320B3">
            <w:pPr>
              <w:spacing w:line="240" w:lineRule="auto"/>
              <w:rPr>
                <w:rFonts w:eastAsia="Times New Roman"/>
                <w:lang w:val="en-US" w:eastAsia="de-DE"/>
              </w:rPr>
            </w:pPr>
          </w:p>
          <w:p w:rsidR="007320B3" w:rsidRDefault="007320B3" w:rsidP="007320B3">
            <w:pPr>
              <w:spacing w:line="240" w:lineRule="auto"/>
              <w:rPr>
                <w:rFonts w:eastAsia="Times New Roman"/>
                <w:lang w:val="en-US" w:eastAsia="de-DE"/>
              </w:rPr>
            </w:pPr>
            <w:r w:rsidRPr="007320B3">
              <w:rPr>
                <w:rFonts w:eastAsia="Times New Roman"/>
                <w:lang w:val="en-US" w:eastAsia="de-DE"/>
              </w:rPr>
              <w:t>List of metadata elements:</w:t>
            </w:r>
          </w:p>
          <w:p w:rsidR="007320B3" w:rsidRDefault="007320B3" w:rsidP="007320B3">
            <w:pPr>
              <w:spacing w:line="240" w:lineRule="auto"/>
              <w:rPr>
                <w:rFonts w:eastAsia="Times New Roman"/>
                <w:lang w:val="en-US" w:eastAsia="de-DE"/>
              </w:rPr>
            </w:pP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Title</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Composer</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Artist</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Label</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Order No.</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 xml:space="preserve">Description of </w:t>
            </w:r>
            <w:r>
              <w:rPr>
                <w:rFonts w:eastAsia="Times New Roman"/>
                <w:lang w:val="en-US" w:eastAsia="de-DE"/>
              </w:rPr>
              <w:t>d</w:t>
            </w:r>
            <w:r w:rsidRPr="007320B3">
              <w:rPr>
                <w:rFonts w:eastAsia="Times New Roman"/>
                <w:lang w:val="en-US" w:eastAsia="de-DE"/>
              </w:rPr>
              <w:t>amages</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Wax colour</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DNB ID</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Stamper ID (Matrizennummer)</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Publisher of the digital file</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Year of digitization</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Description of media (in German)</w:t>
            </w:r>
          </w:p>
          <w:p w:rsidR="007320B3"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Persistent Identifier (URN)</w:t>
            </w:r>
          </w:p>
          <w:p w:rsidR="00D773D9" w:rsidRPr="007320B3" w:rsidRDefault="007320B3" w:rsidP="007320B3">
            <w:pPr>
              <w:pStyle w:val="Listenabsatz"/>
              <w:numPr>
                <w:ilvl w:val="0"/>
                <w:numId w:val="1"/>
              </w:numPr>
              <w:spacing w:line="240" w:lineRule="auto"/>
              <w:rPr>
                <w:rFonts w:eastAsia="Times New Roman"/>
                <w:lang w:val="en-US" w:eastAsia="de-DE"/>
              </w:rPr>
            </w:pPr>
            <w:r w:rsidRPr="007320B3">
              <w:rPr>
                <w:rFonts w:eastAsia="Times New Roman"/>
                <w:lang w:val="en-US" w:eastAsia="de-DE"/>
              </w:rPr>
              <w:t>ID of DNB record for the wax cylinder</w:t>
            </w:r>
            <w:r>
              <w:rPr>
                <w:rFonts w:eastAsia="Times New Roman"/>
                <w:lang w:val="en-US" w:eastAsia="de-DE"/>
              </w:rPr>
              <w:t xml:space="preserve"> (the record for the analogue version will not be part of Europeana)</w:t>
            </w:r>
          </w:p>
        </w:tc>
      </w:tr>
    </w:tbl>
    <w:p w:rsidR="00D773D9" w:rsidRDefault="00D773D9"/>
    <w:p w:rsidR="00D773D9" w:rsidRDefault="000E2FC1">
      <w:r>
        <w:rPr>
          <w:b/>
        </w:rPr>
        <w:t>Vocabularies</w:t>
      </w:r>
    </w:p>
    <w:p w:rsidR="00D773D9" w:rsidRDefault="000E2FC1">
      <w:r>
        <w:rPr>
          <w:b/>
        </w:rPr>
        <w:t xml:space="preserve">7) </w:t>
      </w:r>
      <w:r>
        <w:t>Are you using specific vocabularies(e.g. thesauri) to describe information such as subjects, genres in your metadata?</w:t>
      </w:r>
    </w:p>
    <w:p w:rsidR="00D773D9" w:rsidRDefault="000E2FC1">
      <w:r>
        <w:rPr>
          <w:i/>
        </w:rPr>
        <w:t xml:space="preserve"> If not go to question 11.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rsidP="002009DE">
            <w:pPr>
              <w:spacing w:line="240" w:lineRule="auto"/>
            </w:pPr>
            <w:bookmarkStart w:id="0" w:name="_GoBack"/>
            <w:bookmarkEnd w:id="0"/>
          </w:p>
        </w:tc>
      </w:tr>
    </w:tbl>
    <w:p w:rsidR="00D773D9" w:rsidRDefault="00D773D9"/>
    <w:p w:rsidR="00D773D9" w:rsidRDefault="000E2FC1">
      <w:r>
        <w:rPr>
          <w:b/>
        </w:rPr>
        <w:t xml:space="preserve">8) </w:t>
      </w:r>
      <w:r>
        <w:t>If yes, how are you using them? In which metadata fields?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at  </w:t>
      </w:r>
      <w:hyperlink r:id="rId9">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rPr>
          <w:trHeight w:val="480"/>
        </w:trPr>
        <w:tc>
          <w:tcPr>
            <w:tcW w:w="12900" w:type="dxa"/>
            <w:tcMar>
              <w:top w:w="100" w:type="dxa"/>
              <w:left w:w="100" w:type="dxa"/>
              <w:bottom w:w="100" w:type="dxa"/>
              <w:right w:w="100" w:type="dxa"/>
            </w:tcMar>
          </w:tcPr>
          <w:p w:rsidR="00D773D9" w:rsidRDefault="00D773D9">
            <w:pPr>
              <w:spacing w:line="240" w:lineRule="auto"/>
            </w:pP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D773D9"/>
    <w:p w:rsidR="00D773D9" w:rsidRDefault="00D773D9"/>
    <w:p w:rsidR="00D773D9" w:rsidRDefault="00D773D9"/>
    <w:p w:rsidR="00D773D9" w:rsidRDefault="00D773D9"/>
    <w:sectPr w:rsidR="00D773D9">
      <w:headerReference w:type="default" r:id="rId10"/>
      <w:footerReference w:type="default" r:id="rId11"/>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96" w:rsidRDefault="000E2FC1">
      <w:pPr>
        <w:spacing w:line="240" w:lineRule="auto"/>
      </w:pPr>
      <w:r>
        <w:separator/>
      </w:r>
    </w:p>
  </w:endnote>
  <w:endnote w:type="continuationSeparator" w:id="0">
    <w:p w:rsidR="00533D96" w:rsidRDefault="000E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0E2FC1" w:rsidRDefault="000E2FC1">
        <w:pPr>
          <w:pStyle w:val="Fuzeile"/>
          <w:jc w:val="right"/>
        </w:pPr>
        <w:r>
          <w:fldChar w:fldCharType="begin"/>
        </w:r>
        <w:r>
          <w:instrText xml:space="preserve"> PAGE   \* MERGEFORMAT </w:instrText>
        </w:r>
        <w:r>
          <w:fldChar w:fldCharType="separate"/>
        </w:r>
        <w:r w:rsidR="00E338DB">
          <w:rPr>
            <w:noProof/>
          </w:rPr>
          <w:t>4</w:t>
        </w:r>
        <w:r>
          <w:rPr>
            <w:noProof/>
          </w:rPr>
          <w:fldChar w:fldCharType="end"/>
        </w:r>
      </w:p>
    </w:sdtContent>
  </w:sdt>
  <w:p w:rsidR="000E2FC1" w:rsidRDefault="000E2F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96" w:rsidRDefault="000E2FC1">
      <w:pPr>
        <w:spacing w:line="240" w:lineRule="auto"/>
      </w:pPr>
      <w:r>
        <w:separator/>
      </w:r>
    </w:p>
  </w:footnote>
  <w:footnote w:type="continuationSeparator" w:id="0">
    <w:p w:rsidR="00533D96" w:rsidRDefault="000E2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D9" w:rsidRDefault="000E2FC1">
    <w:r>
      <w:rPr>
        <w:noProof/>
        <w:lang w:val="de-DE" w:eastAsia="de-DE"/>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de-DE" w:eastAsia="de-DE"/>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B87"/>
    <w:multiLevelType w:val="hybridMultilevel"/>
    <w:tmpl w:val="49327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D773D9"/>
    <w:rsid w:val="000E2FC1"/>
    <w:rsid w:val="002009DE"/>
    <w:rsid w:val="002B185A"/>
    <w:rsid w:val="00533D96"/>
    <w:rsid w:val="007048FA"/>
    <w:rsid w:val="007320B3"/>
    <w:rsid w:val="007E2191"/>
    <w:rsid w:val="009D63D8"/>
    <w:rsid w:val="00A3342A"/>
    <w:rsid w:val="00D773D9"/>
    <w:rsid w:val="00E338DB"/>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paragraph" w:styleId="Listenabsatz">
    <w:name w:val="List Paragraph"/>
    <w:basedOn w:val="Standard"/>
    <w:uiPriority w:val="34"/>
    <w:qFormat/>
    <w:rsid w:val="00732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paragraph" w:styleId="Listenabsatz">
    <w:name w:val="List Paragraph"/>
    <w:basedOn w:val="Standard"/>
    <w:uiPriority w:val="34"/>
    <w:qFormat/>
    <w:rsid w:val="0073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olderview?id=0B4N3jJ2PToabWU1scDVFZGVKVEU&amp;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9BDFA3EB.dotm</Template>
  <TotalTime>0</TotalTime>
  <Pages>5</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Weigand, Wibke</dc:creator>
  <cp:lastModifiedBy>robert luckfiel</cp:lastModifiedBy>
  <cp:revision>5</cp:revision>
  <dcterms:created xsi:type="dcterms:W3CDTF">2014-05-05T11:37:00Z</dcterms:created>
  <dcterms:modified xsi:type="dcterms:W3CDTF">2014-05-07T13:27:00Z</dcterms:modified>
</cp:coreProperties>
</file>